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2CFB1" w14:textId="77777777" w:rsidR="00F95E86" w:rsidRPr="00F95E86" w:rsidRDefault="00F95E86" w:rsidP="00CD184C">
      <w:pPr>
        <w:rPr>
          <w:lang w:eastAsia="it-IT"/>
        </w:rPr>
      </w:pPr>
      <w:r w:rsidRPr="00F95E86">
        <w:rPr>
          <w:lang w:eastAsia="it-IT"/>
        </w:rPr>
        <w:t>Seminario franco-italiano (anno accademico 2018/19)</w:t>
      </w:r>
    </w:p>
    <w:p w14:paraId="0668F7EF" w14:textId="77777777" w:rsidR="00F95E86" w:rsidRDefault="00F95E86" w:rsidP="00CD184C">
      <w:pPr>
        <w:rPr>
          <w:lang w:eastAsia="it-IT"/>
        </w:rPr>
      </w:pPr>
    </w:p>
    <w:p w14:paraId="63123095" w14:textId="7C310316" w:rsidR="00F95E86" w:rsidRDefault="00F95E86" w:rsidP="00CD184C">
      <w:pPr>
        <w:rPr>
          <w:lang w:eastAsia="it-IT"/>
        </w:rPr>
      </w:pPr>
      <w:r>
        <w:rPr>
          <w:lang w:eastAsia="it-IT"/>
        </w:rPr>
        <w:t>Calendario e contenuti degl’incontri.</w:t>
      </w:r>
    </w:p>
    <w:p w14:paraId="4BDEB066" w14:textId="77777777" w:rsidR="00F95E86" w:rsidRDefault="00F95E86" w:rsidP="00CD184C">
      <w:pPr>
        <w:rPr>
          <w:lang w:eastAsia="it-IT"/>
        </w:rPr>
      </w:pPr>
    </w:p>
    <w:p w14:paraId="71987FC7" w14:textId="03FC454C" w:rsidR="002B529A" w:rsidRPr="00F95E86" w:rsidRDefault="00F95E86" w:rsidP="00CD184C">
      <w:pPr>
        <w:rPr>
          <w:b/>
          <w:lang w:eastAsia="it-IT"/>
        </w:rPr>
      </w:pPr>
      <w:r w:rsidRPr="00F95E86">
        <w:rPr>
          <w:b/>
          <w:lang w:eastAsia="it-IT"/>
        </w:rPr>
        <w:t xml:space="preserve">Sezione di </w:t>
      </w:r>
      <w:r w:rsidR="002B529A" w:rsidRPr="00F95E86">
        <w:rPr>
          <w:b/>
          <w:lang w:eastAsia="it-IT"/>
        </w:rPr>
        <w:t>Italianistica</w:t>
      </w:r>
      <w:r w:rsidR="00D72860" w:rsidRPr="00F95E86">
        <w:rPr>
          <w:b/>
          <w:lang w:eastAsia="it-IT"/>
        </w:rPr>
        <w:t xml:space="preserve"> (Prof. Franco Tomasi)</w:t>
      </w:r>
    </w:p>
    <w:p w14:paraId="026AFAE5" w14:textId="77777777" w:rsidR="002B529A" w:rsidRPr="00826199" w:rsidRDefault="002B529A" w:rsidP="00CD184C">
      <w:pPr>
        <w:rPr>
          <w:lang w:eastAsia="it-IT"/>
        </w:rPr>
      </w:pPr>
    </w:p>
    <w:p w14:paraId="31787A4F" w14:textId="713FC857" w:rsidR="00315B5A" w:rsidRDefault="006953FF" w:rsidP="00CD184C">
      <w:pPr>
        <w:rPr>
          <w:lang w:eastAsia="it-IT"/>
        </w:rPr>
      </w:pPr>
      <w:r w:rsidRPr="00826199">
        <w:rPr>
          <w:lang w:eastAsia="it-IT"/>
        </w:rPr>
        <w:t xml:space="preserve">Mercoledì 17 aprile, ore 14.00-16.30 (Palazzo </w:t>
      </w:r>
      <w:proofErr w:type="spellStart"/>
      <w:r w:rsidRPr="00826199">
        <w:rPr>
          <w:lang w:eastAsia="it-IT"/>
        </w:rPr>
        <w:t>Maldura</w:t>
      </w:r>
      <w:proofErr w:type="spellEnd"/>
      <w:r w:rsidRPr="00826199">
        <w:rPr>
          <w:lang w:eastAsia="it-IT"/>
        </w:rPr>
        <w:t>, Aula Pecoraro,</w:t>
      </w:r>
      <w:r w:rsidR="00826199" w:rsidRPr="00826199">
        <w:rPr>
          <w:rFonts w:eastAsia="MingLiU"/>
          <w:lang w:eastAsia="it-IT"/>
        </w:rPr>
        <w:t xml:space="preserve"> </w:t>
      </w:r>
      <w:r w:rsidRPr="00826199">
        <w:rPr>
          <w:lang w:eastAsia="it-IT"/>
        </w:rPr>
        <w:t>Primo piano)</w:t>
      </w:r>
      <w:r w:rsidRPr="00826199">
        <w:rPr>
          <w:rFonts w:eastAsia="MingLiU"/>
          <w:lang w:eastAsia="it-IT"/>
        </w:rPr>
        <w:br/>
      </w:r>
      <w:r w:rsidRPr="00826199">
        <w:rPr>
          <w:lang w:eastAsia="it-IT"/>
        </w:rPr>
        <w:t xml:space="preserve">Giovedì 2 maggio, ore 10.30-14 (Palazzo </w:t>
      </w:r>
      <w:proofErr w:type="spellStart"/>
      <w:r w:rsidRPr="00826199">
        <w:rPr>
          <w:lang w:eastAsia="it-IT"/>
        </w:rPr>
        <w:t>Maldura</w:t>
      </w:r>
      <w:proofErr w:type="spellEnd"/>
      <w:r w:rsidRPr="00826199">
        <w:rPr>
          <w:lang w:eastAsia="it-IT"/>
        </w:rPr>
        <w:t>, Aula Pecoraro, Primo piano)</w:t>
      </w:r>
    </w:p>
    <w:p w14:paraId="75F904EF" w14:textId="77777777" w:rsidR="00315B5A" w:rsidRPr="00826199" w:rsidRDefault="00315B5A" w:rsidP="00CD184C">
      <w:pPr>
        <w:rPr>
          <w:lang w:eastAsia="it-IT"/>
        </w:rPr>
      </w:pPr>
      <w:r w:rsidRPr="00826199">
        <w:rPr>
          <w:lang w:eastAsia="it-IT"/>
        </w:rPr>
        <w:t xml:space="preserve">Venerdì 24 maggio, ore 10.30 – 14 (Palazzo </w:t>
      </w:r>
      <w:proofErr w:type="spellStart"/>
      <w:r w:rsidRPr="00826199">
        <w:rPr>
          <w:lang w:eastAsia="it-IT"/>
        </w:rPr>
        <w:t>Maldura</w:t>
      </w:r>
      <w:proofErr w:type="spellEnd"/>
      <w:r w:rsidRPr="00826199">
        <w:rPr>
          <w:lang w:eastAsia="it-IT"/>
        </w:rPr>
        <w:t>, Aula Pecoraro,</w:t>
      </w:r>
      <w:r w:rsidRPr="00826199">
        <w:rPr>
          <w:rFonts w:eastAsia="MingLiU"/>
          <w:lang w:eastAsia="it-IT"/>
        </w:rPr>
        <w:t xml:space="preserve"> </w:t>
      </w:r>
      <w:r w:rsidRPr="00826199">
        <w:rPr>
          <w:lang w:eastAsia="it-IT"/>
        </w:rPr>
        <w:t>Primo piano)</w:t>
      </w:r>
    </w:p>
    <w:p w14:paraId="6986D9F8" w14:textId="77777777" w:rsidR="00CD184C" w:rsidRDefault="00CD184C" w:rsidP="00CD184C">
      <w:pPr>
        <w:rPr>
          <w:rFonts w:eastAsia="MingLiU"/>
          <w:lang w:eastAsia="it-IT"/>
        </w:rPr>
      </w:pPr>
    </w:p>
    <w:p w14:paraId="5E1A5821" w14:textId="3ACBC483" w:rsidR="003671DE" w:rsidRPr="00CD184C" w:rsidRDefault="00CD184C" w:rsidP="00CD184C">
      <w:pPr>
        <w:rPr>
          <w:rFonts w:cs="Times"/>
          <w:i/>
        </w:rPr>
      </w:pPr>
      <w:r w:rsidRPr="00CD184C">
        <w:rPr>
          <w:rFonts w:cs="Times"/>
          <w:i/>
        </w:rPr>
        <w:t>Il Rinascimento italiano: prospettive di ricerca e metodi di indagine</w:t>
      </w:r>
      <w:r>
        <w:rPr>
          <w:rFonts w:eastAsia="MingLiU"/>
          <w:lang w:eastAsia="it-IT"/>
        </w:rPr>
        <w:br/>
      </w:r>
      <w:r w:rsidR="003671DE">
        <w:rPr>
          <w:rFonts w:cs="Garamond"/>
        </w:rPr>
        <w:t xml:space="preserve">Il seminario affronterà, nei tre incontri previsti, il problema del Rinascimento italiano come categoria culturale di più ampia portata, con una prima occasione di confronto tra le diverse interpretazioni complessive, per poi procedere all’analisi di singoli casi. </w:t>
      </w:r>
      <w:r w:rsidR="003671DE" w:rsidRPr="009E0C44">
        <w:rPr>
          <w:rFonts w:cs="Garamond"/>
        </w:rPr>
        <w:t xml:space="preserve"> Gli incontri </w:t>
      </w:r>
      <w:r w:rsidR="003671DE">
        <w:rPr>
          <w:rFonts w:cs="Garamond"/>
        </w:rPr>
        <w:t>avranno una dimensione seminariale e sarà quindi previsto il diretto coinvolgimento degli studenti nella discussione.</w:t>
      </w:r>
    </w:p>
    <w:p w14:paraId="08C799FD" w14:textId="77777777" w:rsidR="00CD184C" w:rsidRDefault="00CD184C" w:rsidP="00CD184C">
      <w:pPr>
        <w:rPr>
          <w:rFonts w:cs="Garamond"/>
        </w:rPr>
      </w:pPr>
    </w:p>
    <w:p w14:paraId="363EA4F1" w14:textId="1C4A72BE" w:rsidR="00CD184C" w:rsidRPr="00CD184C" w:rsidRDefault="00CD184C" w:rsidP="00CD184C">
      <w:pPr>
        <w:rPr>
          <w:rFonts w:cs="Garamond"/>
          <w:sz w:val="22"/>
          <w:szCs w:val="22"/>
        </w:rPr>
      </w:pPr>
      <w:r w:rsidRPr="00CD184C">
        <w:rPr>
          <w:rFonts w:cs="Garamond"/>
          <w:sz w:val="22"/>
          <w:szCs w:val="22"/>
        </w:rPr>
        <w:t>Letture consigliate</w:t>
      </w:r>
    </w:p>
    <w:p w14:paraId="0BE92FE5" w14:textId="084B506B" w:rsidR="00CD184C" w:rsidRPr="00CD184C" w:rsidRDefault="003671DE" w:rsidP="00CD184C">
      <w:pPr>
        <w:ind w:left="142" w:hanging="142"/>
        <w:rPr>
          <w:rFonts w:cs="Times"/>
          <w:i/>
          <w:sz w:val="22"/>
          <w:szCs w:val="22"/>
        </w:rPr>
      </w:pPr>
      <w:r w:rsidRPr="00CD184C">
        <w:rPr>
          <w:sz w:val="22"/>
          <w:szCs w:val="22"/>
        </w:rPr>
        <w:t xml:space="preserve">A. Quondam, </w:t>
      </w:r>
      <w:r w:rsidRPr="00CD184C">
        <w:rPr>
          <w:i/>
          <w:sz w:val="22"/>
          <w:szCs w:val="22"/>
        </w:rPr>
        <w:t>Rinascimento e classicismi: forme e metamorfosi della modernità</w:t>
      </w:r>
      <w:r w:rsidRPr="00CD184C">
        <w:rPr>
          <w:sz w:val="22"/>
          <w:szCs w:val="22"/>
        </w:rPr>
        <w:t>, Bologna, Il Mulino, 2013</w:t>
      </w:r>
      <w:r w:rsidR="00CD184C" w:rsidRPr="00CD184C">
        <w:rPr>
          <w:sz w:val="22"/>
          <w:szCs w:val="22"/>
        </w:rPr>
        <w:t>.</w:t>
      </w:r>
    </w:p>
    <w:p w14:paraId="2CF7B298" w14:textId="4C58CC32" w:rsidR="003671DE" w:rsidRPr="00CD184C" w:rsidRDefault="003671DE" w:rsidP="00CD184C">
      <w:pPr>
        <w:ind w:left="142" w:hanging="142"/>
        <w:rPr>
          <w:rFonts w:cs="Times"/>
          <w:i/>
          <w:sz w:val="22"/>
          <w:szCs w:val="22"/>
        </w:rPr>
      </w:pPr>
      <w:r w:rsidRPr="00CD184C">
        <w:rPr>
          <w:sz w:val="22"/>
          <w:szCs w:val="22"/>
        </w:rPr>
        <w:t xml:space="preserve">G. Alfano, C. Gigante, E. Russo, </w:t>
      </w:r>
      <w:r w:rsidRPr="00CD184C">
        <w:rPr>
          <w:i/>
          <w:sz w:val="22"/>
          <w:szCs w:val="22"/>
        </w:rPr>
        <w:t>Rinascimento</w:t>
      </w:r>
      <w:r w:rsidRPr="00CD184C">
        <w:rPr>
          <w:sz w:val="22"/>
          <w:szCs w:val="22"/>
        </w:rPr>
        <w:t>; Roma, Salerno editrice, 2016 (acquistabile anche nella versione distribuita da «Il Corriere della Sera»)</w:t>
      </w:r>
      <w:r w:rsidR="00CD184C" w:rsidRPr="00CD184C">
        <w:rPr>
          <w:sz w:val="22"/>
          <w:szCs w:val="22"/>
        </w:rPr>
        <w:t>.</w:t>
      </w:r>
    </w:p>
    <w:p w14:paraId="5B9FB897" w14:textId="5BA90DDC" w:rsidR="002B529A" w:rsidRPr="00826199" w:rsidRDefault="003671DE" w:rsidP="00CD184C">
      <w:pPr>
        <w:ind w:left="142" w:hanging="142"/>
      </w:pPr>
      <w:r w:rsidRPr="00CD184C">
        <w:rPr>
          <w:sz w:val="22"/>
          <w:szCs w:val="22"/>
        </w:rPr>
        <w:t xml:space="preserve">G. </w:t>
      </w:r>
      <w:proofErr w:type="spellStart"/>
      <w:r w:rsidRPr="00CD184C">
        <w:rPr>
          <w:sz w:val="22"/>
          <w:szCs w:val="22"/>
        </w:rPr>
        <w:t>Mazzacurati</w:t>
      </w:r>
      <w:proofErr w:type="spellEnd"/>
      <w:r w:rsidRPr="00CD184C">
        <w:rPr>
          <w:sz w:val="22"/>
          <w:szCs w:val="22"/>
        </w:rPr>
        <w:t xml:space="preserve">, </w:t>
      </w:r>
      <w:r w:rsidRPr="00CD184C">
        <w:rPr>
          <w:i/>
          <w:sz w:val="22"/>
          <w:szCs w:val="22"/>
        </w:rPr>
        <w:t>Il Rinascimento dei Moderni. La crisi culturale del XVI secolo e la negazione delle origini</w:t>
      </w:r>
      <w:r w:rsidRPr="00CD184C">
        <w:rPr>
          <w:sz w:val="22"/>
          <w:szCs w:val="22"/>
        </w:rPr>
        <w:t>, Bologna, Il Mulino, 2016</w:t>
      </w:r>
      <w:r w:rsidRPr="00CD184C">
        <w:rPr>
          <w:sz w:val="22"/>
          <w:szCs w:val="22"/>
          <w:vertAlign w:val="superscript"/>
        </w:rPr>
        <w:t>2</w:t>
      </w:r>
      <w:r w:rsidR="00CD184C" w:rsidRPr="00CD184C">
        <w:rPr>
          <w:sz w:val="22"/>
          <w:szCs w:val="22"/>
          <w:lang w:eastAsia="it-IT"/>
        </w:rPr>
        <w:t>.</w:t>
      </w:r>
    </w:p>
    <w:p w14:paraId="19794E93" w14:textId="77777777" w:rsidR="002B529A" w:rsidRDefault="002B529A" w:rsidP="00CD184C">
      <w:pPr>
        <w:rPr>
          <w:lang w:eastAsia="it-IT"/>
        </w:rPr>
      </w:pPr>
    </w:p>
    <w:p w14:paraId="5062BC5C" w14:textId="77777777" w:rsidR="00CD184C" w:rsidRPr="00826199" w:rsidRDefault="00CD184C" w:rsidP="00CD184C">
      <w:pPr>
        <w:rPr>
          <w:lang w:eastAsia="it-IT"/>
        </w:rPr>
      </w:pPr>
    </w:p>
    <w:p w14:paraId="5DC82F73" w14:textId="6F20978C" w:rsidR="002B529A" w:rsidRPr="00826199" w:rsidRDefault="00CD184C" w:rsidP="00CD184C">
      <w:pPr>
        <w:jc w:val="center"/>
        <w:rPr>
          <w:lang w:eastAsia="it-IT"/>
        </w:rPr>
      </w:pPr>
      <w:r>
        <w:rPr>
          <w:lang w:eastAsia="it-IT"/>
        </w:rPr>
        <w:t>***</w:t>
      </w:r>
    </w:p>
    <w:p w14:paraId="63D124A5" w14:textId="77777777" w:rsidR="002B529A" w:rsidRDefault="002B529A" w:rsidP="00CD184C">
      <w:pPr>
        <w:rPr>
          <w:lang w:eastAsia="it-IT"/>
        </w:rPr>
      </w:pPr>
    </w:p>
    <w:p w14:paraId="76E101D7" w14:textId="77777777" w:rsidR="00CD184C" w:rsidRPr="00826199" w:rsidRDefault="00CD184C" w:rsidP="00CD184C">
      <w:pPr>
        <w:rPr>
          <w:lang w:eastAsia="it-IT"/>
        </w:rPr>
      </w:pPr>
    </w:p>
    <w:p w14:paraId="6977ADEC" w14:textId="7FFB344B" w:rsidR="002B529A" w:rsidRPr="00F95E86" w:rsidRDefault="00F95E86" w:rsidP="00CD184C">
      <w:pPr>
        <w:rPr>
          <w:b/>
          <w:lang w:eastAsia="it-IT"/>
        </w:rPr>
      </w:pPr>
      <w:r w:rsidRPr="00F95E86">
        <w:rPr>
          <w:b/>
          <w:lang w:eastAsia="it-IT"/>
        </w:rPr>
        <w:t xml:space="preserve">Sezione di </w:t>
      </w:r>
      <w:r w:rsidR="002B529A" w:rsidRPr="00F95E86">
        <w:rPr>
          <w:b/>
          <w:lang w:eastAsia="it-IT"/>
        </w:rPr>
        <w:t>Francesistica</w:t>
      </w:r>
      <w:r w:rsidR="00D72860" w:rsidRPr="00F95E86">
        <w:rPr>
          <w:b/>
          <w:lang w:eastAsia="it-IT"/>
        </w:rPr>
        <w:t xml:space="preserve"> (Prof. Alvaro Barbieri)</w:t>
      </w:r>
    </w:p>
    <w:p w14:paraId="2F582ABA" w14:textId="77777777" w:rsidR="002B529A" w:rsidRPr="00826199" w:rsidRDefault="002B529A" w:rsidP="00CD184C">
      <w:pPr>
        <w:rPr>
          <w:lang w:eastAsia="it-IT"/>
        </w:rPr>
      </w:pPr>
    </w:p>
    <w:p w14:paraId="646BDBF0" w14:textId="57E4F9B0" w:rsidR="002B529A" w:rsidRPr="00826199" w:rsidRDefault="002B529A" w:rsidP="00CD184C">
      <w:pPr>
        <w:rPr>
          <w:lang w:eastAsia="it-IT"/>
        </w:rPr>
      </w:pPr>
      <w:r w:rsidRPr="00826199">
        <w:rPr>
          <w:lang w:eastAsia="it-IT"/>
        </w:rPr>
        <w:t>Lunedì 6 maggio</w:t>
      </w:r>
      <w:r w:rsidR="00801F03" w:rsidRPr="00826199">
        <w:rPr>
          <w:lang w:eastAsia="it-IT"/>
        </w:rPr>
        <w:t>, ore 10,30-14 (</w:t>
      </w:r>
      <w:r w:rsidR="00826199" w:rsidRPr="00826199">
        <w:rPr>
          <w:lang w:eastAsia="it-IT"/>
        </w:rPr>
        <w:t xml:space="preserve">Palazzo </w:t>
      </w:r>
      <w:proofErr w:type="spellStart"/>
      <w:r w:rsidR="00826199" w:rsidRPr="00826199">
        <w:rPr>
          <w:lang w:eastAsia="it-IT"/>
        </w:rPr>
        <w:t>Maldura</w:t>
      </w:r>
      <w:proofErr w:type="spellEnd"/>
      <w:r w:rsidR="00826199" w:rsidRPr="00826199">
        <w:rPr>
          <w:lang w:eastAsia="it-IT"/>
        </w:rPr>
        <w:t xml:space="preserve">, Sala </w:t>
      </w:r>
      <w:proofErr w:type="spellStart"/>
      <w:r w:rsidR="00826199" w:rsidRPr="00826199">
        <w:rPr>
          <w:lang w:eastAsia="it-IT"/>
        </w:rPr>
        <w:t>Scattola</w:t>
      </w:r>
      <w:proofErr w:type="spellEnd"/>
      <w:r w:rsidR="00801F03" w:rsidRPr="00826199">
        <w:rPr>
          <w:lang w:eastAsia="it-IT"/>
        </w:rPr>
        <w:t>,</w:t>
      </w:r>
      <w:r w:rsidR="00826199" w:rsidRPr="00826199">
        <w:rPr>
          <w:rFonts w:eastAsia="MingLiU"/>
          <w:lang w:eastAsia="it-IT"/>
        </w:rPr>
        <w:t xml:space="preserve"> </w:t>
      </w:r>
      <w:r w:rsidR="00826199" w:rsidRPr="00826199">
        <w:rPr>
          <w:lang w:eastAsia="it-IT"/>
        </w:rPr>
        <w:t>pianterreno</w:t>
      </w:r>
      <w:r w:rsidR="00801F03" w:rsidRPr="00826199">
        <w:rPr>
          <w:lang w:eastAsia="it-IT"/>
        </w:rPr>
        <w:t>)</w:t>
      </w:r>
    </w:p>
    <w:p w14:paraId="1C0ABD3D" w14:textId="237F374F" w:rsidR="00801F03" w:rsidRPr="00826199" w:rsidRDefault="00801F03" w:rsidP="00CD184C">
      <w:pPr>
        <w:rPr>
          <w:lang w:eastAsia="it-IT"/>
        </w:rPr>
      </w:pPr>
      <w:r w:rsidRPr="00826199">
        <w:rPr>
          <w:lang w:eastAsia="it-IT"/>
        </w:rPr>
        <w:t xml:space="preserve">Mercoledì 8 maggio, ore 10,30-14 </w:t>
      </w:r>
      <w:r w:rsidR="00826199" w:rsidRPr="00826199">
        <w:rPr>
          <w:lang w:eastAsia="it-IT"/>
        </w:rPr>
        <w:t xml:space="preserve">(Palazzo </w:t>
      </w:r>
      <w:proofErr w:type="spellStart"/>
      <w:r w:rsidR="00826199" w:rsidRPr="00826199">
        <w:rPr>
          <w:lang w:eastAsia="it-IT"/>
        </w:rPr>
        <w:t>Maldura</w:t>
      </w:r>
      <w:proofErr w:type="spellEnd"/>
      <w:r w:rsidR="00826199" w:rsidRPr="00826199">
        <w:rPr>
          <w:lang w:eastAsia="it-IT"/>
        </w:rPr>
        <w:t xml:space="preserve">, Sala </w:t>
      </w:r>
      <w:proofErr w:type="spellStart"/>
      <w:r w:rsidR="00826199" w:rsidRPr="00826199">
        <w:rPr>
          <w:lang w:eastAsia="it-IT"/>
        </w:rPr>
        <w:t>Scattola</w:t>
      </w:r>
      <w:proofErr w:type="spellEnd"/>
      <w:r w:rsidRPr="00826199">
        <w:rPr>
          <w:lang w:eastAsia="it-IT"/>
        </w:rPr>
        <w:t>,</w:t>
      </w:r>
      <w:r w:rsidR="00826199" w:rsidRPr="00826199">
        <w:rPr>
          <w:rFonts w:eastAsia="MingLiU"/>
          <w:lang w:eastAsia="it-IT"/>
        </w:rPr>
        <w:t xml:space="preserve"> </w:t>
      </w:r>
      <w:r w:rsidR="00826199" w:rsidRPr="00826199">
        <w:rPr>
          <w:lang w:eastAsia="it-IT"/>
        </w:rPr>
        <w:t>pianterreno</w:t>
      </w:r>
      <w:r w:rsidRPr="00826199">
        <w:rPr>
          <w:lang w:eastAsia="it-IT"/>
        </w:rPr>
        <w:t>)</w:t>
      </w:r>
    </w:p>
    <w:p w14:paraId="28627772" w14:textId="6316F23C" w:rsidR="00801F03" w:rsidRDefault="00801F03" w:rsidP="00CD184C">
      <w:pPr>
        <w:rPr>
          <w:lang w:eastAsia="it-IT"/>
        </w:rPr>
      </w:pPr>
      <w:r w:rsidRPr="00826199">
        <w:rPr>
          <w:lang w:eastAsia="it-IT"/>
        </w:rPr>
        <w:t xml:space="preserve">Mercoledì 29 maggio, ore 10,30-14 </w:t>
      </w:r>
      <w:r w:rsidR="00826199" w:rsidRPr="00826199">
        <w:rPr>
          <w:lang w:eastAsia="it-IT"/>
        </w:rPr>
        <w:t xml:space="preserve">(Palazzo </w:t>
      </w:r>
      <w:proofErr w:type="spellStart"/>
      <w:r w:rsidR="00826199" w:rsidRPr="00826199">
        <w:rPr>
          <w:lang w:eastAsia="it-IT"/>
        </w:rPr>
        <w:t>Maldura</w:t>
      </w:r>
      <w:proofErr w:type="spellEnd"/>
      <w:r w:rsidR="00826199" w:rsidRPr="00826199">
        <w:rPr>
          <w:lang w:eastAsia="it-IT"/>
        </w:rPr>
        <w:t xml:space="preserve">, Sala </w:t>
      </w:r>
      <w:proofErr w:type="spellStart"/>
      <w:r w:rsidR="00826199" w:rsidRPr="00826199">
        <w:rPr>
          <w:lang w:eastAsia="it-IT"/>
        </w:rPr>
        <w:t>Scattola</w:t>
      </w:r>
      <w:proofErr w:type="spellEnd"/>
      <w:r w:rsidRPr="00826199">
        <w:rPr>
          <w:lang w:eastAsia="it-IT"/>
        </w:rPr>
        <w:t>,</w:t>
      </w:r>
      <w:r w:rsidR="00826199" w:rsidRPr="00826199">
        <w:rPr>
          <w:rFonts w:eastAsia="MingLiU"/>
          <w:lang w:eastAsia="it-IT"/>
        </w:rPr>
        <w:t xml:space="preserve"> pianterreno</w:t>
      </w:r>
      <w:r w:rsidRPr="00826199">
        <w:rPr>
          <w:lang w:eastAsia="it-IT"/>
        </w:rPr>
        <w:t>)</w:t>
      </w:r>
    </w:p>
    <w:p w14:paraId="50F15CB2" w14:textId="77777777" w:rsidR="00D21D2D" w:rsidRDefault="00D21D2D" w:rsidP="00CD184C">
      <w:pPr>
        <w:rPr>
          <w:lang w:eastAsia="it-IT"/>
        </w:rPr>
      </w:pPr>
    </w:p>
    <w:p w14:paraId="3A7F1D02" w14:textId="493F6F64" w:rsidR="00D21D2D" w:rsidRPr="00CD184C" w:rsidRDefault="00D21D2D" w:rsidP="00CD184C">
      <w:pPr>
        <w:rPr>
          <w:rFonts w:cs="Times"/>
          <w:i/>
        </w:rPr>
      </w:pPr>
      <w:r w:rsidRPr="00CD184C">
        <w:rPr>
          <w:rFonts w:cs="Times"/>
          <w:i/>
        </w:rPr>
        <w:t>Primo avviamento all’antropologia dei testi letterari: prelimi</w:t>
      </w:r>
      <w:r w:rsidR="00F95E86" w:rsidRPr="00CD184C">
        <w:rPr>
          <w:rFonts w:cs="Times"/>
          <w:i/>
        </w:rPr>
        <w:t>nari di metodo e casi di studio</w:t>
      </w:r>
    </w:p>
    <w:p w14:paraId="3988A6A6" w14:textId="5E26C3D4" w:rsidR="00D21D2D" w:rsidRDefault="00D21D2D" w:rsidP="00CD184C">
      <w:pPr>
        <w:rPr>
          <w:rFonts w:cs="Garamond"/>
        </w:rPr>
      </w:pPr>
      <w:r w:rsidRPr="009E0C44">
        <w:rPr>
          <w:rFonts w:cs="Garamond"/>
        </w:rPr>
        <w:t xml:space="preserve">Articolato in tre mattinate, il seminario assegnerà un forte rilievo al momento teorico e metodologico, ma avrà il suo primario fuoco d’interesse nella lettura commentata di ampi </w:t>
      </w:r>
      <w:proofErr w:type="spellStart"/>
      <w:r w:rsidRPr="009E0C44">
        <w:rPr>
          <w:rFonts w:cs="Times"/>
          <w:i/>
        </w:rPr>
        <w:t>specimina</w:t>
      </w:r>
      <w:proofErr w:type="spellEnd"/>
      <w:r w:rsidRPr="009E0C44">
        <w:rPr>
          <w:rFonts w:cs="Times"/>
        </w:rPr>
        <w:t xml:space="preserve"> </w:t>
      </w:r>
      <w:r w:rsidRPr="009E0C44">
        <w:rPr>
          <w:rFonts w:cs="Garamond"/>
        </w:rPr>
        <w:t xml:space="preserve">testuali dedotti dalla </w:t>
      </w:r>
      <w:r w:rsidRPr="009E0C44">
        <w:rPr>
          <w:rFonts w:cs="Garamond"/>
        </w:rPr>
        <w:lastRenderedPageBreak/>
        <w:t>tradizione letteraria francese, con particol</w:t>
      </w:r>
      <w:r>
        <w:rPr>
          <w:rFonts w:cs="Garamond"/>
        </w:rPr>
        <w:t xml:space="preserve">are riguardo ai romanzi di </w:t>
      </w:r>
      <w:proofErr w:type="spellStart"/>
      <w:r>
        <w:rPr>
          <w:rFonts w:cs="Garamond"/>
        </w:rPr>
        <w:t>Chrétien</w:t>
      </w:r>
      <w:proofErr w:type="spellEnd"/>
      <w:r>
        <w:rPr>
          <w:rFonts w:cs="Garamond"/>
        </w:rPr>
        <w:t xml:space="preserve"> de Troyes</w:t>
      </w:r>
      <w:r w:rsidRPr="009E0C44">
        <w:rPr>
          <w:rFonts w:cs="Garamond"/>
        </w:rPr>
        <w:t>. Gli incontri non si svolgeranno secondo la formula della lezione frontale, ma troveranno il loro aspetto qualificante nella discussione di gruppo e nel coinvol</w:t>
      </w:r>
      <w:r w:rsidR="00F95E86">
        <w:rPr>
          <w:rFonts w:cs="Garamond"/>
        </w:rPr>
        <w:t>gimento diretto degli studenti.</w:t>
      </w:r>
    </w:p>
    <w:p w14:paraId="40A3920D" w14:textId="77777777" w:rsidR="00F95E86" w:rsidRPr="009E0C44" w:rsidRDefault="00F95E86" w:rsidP="00CD184C">
      <w:pPr>
        <w:rPr>
          <w:rFonts w:cs="Times"/>
        </w:rPr>
      </w:pPr>
    </w:p>
    <w:p w14:paraId="4A6E0EBD" w14:textId="77777777" w:rsidR="00D21D2D" w:rsidRPr="00F95E86" w:rsidRDefault="00D21D2D" w:rsidP="00CD184C">
      <w:pPr>
        <w:rPr>
          <w:rFonts w:cs="Times"/>
          <w:sz w:val="22"/>
          <w:szCs w:val="22"/>
        </w:rPr>
      </w:pPr>
      <w:r w:rsidRPr="00F95E86">
        <w:rPr>
          <w:rFonts w:cs="Garamond"/>
          <w:sz w:val="22"/>
          <w:szCs w:val="22"/>
        </w:rPr>
        <w:t>Letture consigliate.</w:t>
      </w:r>
      <w:bookmarkStart w:id="0" w:name="_GoBack"/>
      <w:bookmarkEnd w:id="0"/>
    </w:p>
    <w:p w14:paraId="43FA34D4" w14:textId="77777777" w:rsidR="00D21D2D" w:rsidRPr="00F95E86" w:rsidRDefault="00D21D2D" w:rsidP="00CD184C">
      <w:pPr>
        <w:ind w:left="284" w:hanging="284"/>
        <w:rPr>
          <w:rFonts w:cs="Garamond"/>
          <w:sz w:val="22"/>
          <w:szCs w:val="22"/>
        </w:rPr>
      </w:pPr>
      <w:r w:rsidRPr="00F95E86">
        <w:rPr>
          <w:rFonts w:cs="Times"/>
          <w:i/>
          <w:sz w:val="22"/>
          <w:szCs w:val="22"/>
        </w:rPr>
        <w:t>Le vie del racconto: temi antropologici, nuclei mitici e rielaborazione letteraria nella narrazione medievale germanica e romanza</w:t>
      </w:r>
      <w:r w:rsidRPr="00F95E86">
        <w:rPr>
          <w:rFonts w:cs="Garamond"/>
          <w:sz w:val="22"/>
          <w:szCs w:val="22"/>
        </w:rPr>
        <w:t xml:space="preserve">, a cura di Alvaro Barbieri, Paola Mura, Giovanni Panno, Padova, </w:t>
      </w:r>
      <w:proofErr w:type="spellStart"/>
      <w:r w:rsidRPr="00F95E86">
        <w:rPr>
          <w:rFonts w:cs="Garamond"/>
          <w:sz w:val="22"/>
          <w:szCs w:val="22"/>
        </w:rPr>
        <w:t>Unipress</w:t>
      </w:r>
      <w:proofErr w:type="spellEnd"/>
      <w:r w:rsidRPr="00F95E86">
        <w:rPr>
          <w:rFonts w:cs="Garamond"/>
          <w:sz w:val="22"/>
          <w:szCs w:val="22"/>
        </w:rPr>
        <w:t>, 2008.</w:t>
      </w:r>
    </w:p>
    <w:p w14:paraId="75C3955F" w14:textId="435BA377" w:rsidR="00D21D2D" w:rsidRPr="00F95E86" w:rsidRDefault="00D21D2D" w:rsidP="00CD184C">
      <w:pPr>
        <w:ind w:left="284" w:hanging="284"/>
        <w:rPr>
          <w:rFonts w:eastAsia="MS Mincho" w:cs="MS Mincho"/>
          <w:sz w:val="22"/>
          <w:szCs w:val="22"/>
        </w:rPr>
      </w:pPr>
      <w:r w:rsidRPr="00F95E86">
        <w:rPr>
          <w:rFonts w:cs="Garamond"/>
          <w:sz w:val="22"/>
          <w:szCs w:val="22"/>
          <w:lang w:val="fr-FR"/>
        </w:rPr>
        <w:t xml:space="preserve">Chrétien de Troyes, </w:t>
      </w:r>
      <w:r w:rsidRPr="00F95E86">
        <w:rPr>
          <w:rFonts w:cs="Garamond"/>
          <w:i/>
          <w:sz w:val="22"/>
          <w:szCs w:val="22"/>
          <w:lang w:val="fr-FR"/>
        </w:rPr>
        <w:t>Le Conte du Graal ou le Roman de Perceval</w:t>
      </w:r>
      <w:r w:rsidRPr="00F95E86">
        <w:rPr>
          <w:rFonts w:cs="Garamond"/>
          <w:sz w:val="22"/>
          <w:szCs w:val="22"/>
          <w:lang w:val="fr-FR"/>
        </w:rPr>
        <w:t>, édition du manuscrit 354 de Berne, traduction critique, présentation et notes de Charles</w:t>
      </w:r>
      <w:r w:rsidR="007A79F3" w:rsidRPr="00F95E86">
        <w:rPr>
          <w:rFonts w:cs="Garamond"/>
          <w:sz w:val="22"/>
          <w:szCs w:val="22"/>
          <w:lang w:val="fr-FR"/>
        </w:rPr>
        <w:t xml:space="preserve"> </w:t>
      </w:r>
      <w:proofErr w:type="spellStart"/>
      <w:r w:rsidR="007A79F3" w:rsidRPr="00F95E86">
        <w:rPr>
          <w:rFonts w:cs="Garamond"/>
          <w:sz w:val="22"/>
          <w:szCs w:val="22"/>
          <w:lang w:val="fr-FR"/>
        </w:rPr>
        <w:t>Méla</w:t>
      </w:r>
      <w:proofErr w:type="spellEnd"/>
      <w:r w:rsidR="007A79F3" w:rsidRPr="00F95E86">
        <w:rPr>
          <w:rFonts w:cs="Garamond"/>
          <w:sz w:val="22"/>
          <w:szCs w:val="22"/>
          <w:lang w:val="fr-FR"/>
        </w:rPr>
        <w:t xml:space="preserve">, </w:t>
      </w:r>
      <w:r w:rsidR="00F95E86" w:rsidRPr="00F95E86">
        <w:rPr>
          <w:rFonts w:cs="Garamond"/>
          <w:sz w:val="22"/>
          <w:szCs w:val="22"/>
          <w:lang w:val="fr-FR"/>
        </w:rPr>
        <w:t>Paris, Librairie Générale Française, 1990.</w:t>
      </w:r>
    </w:p>
    <w:p w14:paraId="3F4B1803" w14:textId="3EE501B5" w:rsidR="00F95E86" w:rsidRPr="00F95E86" w:rsidRDefault="00D21D2D" w:rsidP="00CD184C">
      <w:pPr>
        <w:ind w:left="284" w:hanging="284"/>
        <w:rPr>
          <w:rFonts w:cs="Garamond"/>
        </w:rPr>
      </w:pPr>
      <w:r w:rsidRPr="00F95E86">
        <w:rPr>
          <w:rFonts w:cs="Garamond"/>
          <w:sz w:val="22"/>
          <w:szCs w:val="22"/>
          <w:lang w:val="fr-FR"/>
        </w:rPr>
        <w:t xml:space="preserve">Emmanuèle Baumgartner, </w:t>
      </w:r>
      <w:r w:rsidRPr="00F95E86">
        <w:rPr>
          <w:rFonts w:cs="Garamond"/>
          <w:i/>
          <w:sz w:val="22"/>
          <w:szCs w:val="22"/>
          <w:lang w:val="fr-FR"/>
        </w:rPr>
        <w:t xml:space="preserve">Chrétien de </w:t>
      </w:r>
      <w:proofErr w:type="gramStart"/>
      <w:r w:rsidRPr="00F95E86">
        <w:rPr>
          <w:rFonts w:cs="Garamond"/>
          <w:i/>
          <w:sz w:val="22"/>
          <w:szCs w:val="22"/>
          <w:lang w:val="fr-FR"/>
        </w:rPr>
        <w:t>Troyes:</w:t>
      </w:r>
      <w:proofErr w:type="gramEnd"/>
      <w:r w:rsidRPr="00F95E86">
        <w:rPr>
          <w:rFonts w:cs="Garamond"/>
          <w:i/>
          <w:sz w:val="22"/>
          <w:szCs w:val="22"/>
          <w:lang w:val="fr-FR"/>
        </w:rPr>
        <w:t xml:space="preserve"> Le Conte du Graal</w:t>
      </w:r>
      <w:r w:rsidRPr="00F95E86">
        <w:rPr>
          <w:rFonts w:cs="Garamond"/>
          <w:sz w:val="22"/>
          <w:szCs w:val="22"/>
          <w:lang w:val="fr-FR"/>
        </w:rPr>
        <w:t>, Paris, Presses Universitaires de France</w:t>
      </w:r>
      <w:r w:rsidRPr="00F95E86">
        <w:rPr>
          <w:rFonts w:cs="Garamond"/>
          <w:sz w:val="22"/>
          <w:szCs w:val="22"/>
        </w:rPr>
        <w:t>, 1999.</w:t>
      </w:r>
    </w:p>
    <w:sectPr w:rsidR="00F95E86" w:rsidRPr="00F95E86" w:rsidSect="00DF365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MingLiU">
    <w:panose1 w:val="02020509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44226"/>
    <w:multiLevelType w:val="hybridMultilevel"/>
    <w:tmpl w:val="1C682B70"/>
    <w:lvl w:ilvl="0" w:tplc="672EB2B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FF"/>
    <w:rsid w:val="000B790F"/>
    <w:rsid w:val="002B529A"/>
    <w:rsid w:val="00315B5A"/>
    <w:rsid w:val="003671DE"/>
    <w:rsid w:val="006953FF"/>
    <w:rsid w:val="007A79F3"/>
    <w:rsid w:val="00801F03"/>
    <w:rsid w:val="00826199"/>
    <w:rsid w:val="00CD184C"/>
    <w:rsid w:val="00D21D2D"/>
    <w:rsid w:val="00D72860"/>
    <w:rsid w:val="00DF365E"/>
    <w:rsid w:val="00F94AA4"/>
    <w:rsid w:val="00F95E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2F856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184C"/>
    <w:pPr>
      <w:spacing w:line="360" w:lineRule="auto"/>
    </w:pPr>
    <w:rPr>
      <w:rFonts w:ascii="Garamond" w:hAnsi="Garamon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71DE"/>
    <w:pPr>
      <w:spacing w:line="240"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9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400</Words>
  <Characters>2285</Characters>
  <Application>Microsoft Macintosh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4</cp:revision>
  <dcterms:created xsi:type="dcterms:W3CDTF">2019-04-10T10:46:00Z</dcterms:created>
  <dcterms:modified xsi:type="dcterms:W3CDTF">2019-04-11T06:21:00Z</dcterms:modified>
</cp:coreProperties>
</file>