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History of Animation 2018-2019</w:t>
      </w:r>
    </w:p>
    <w:p w:rsidR="00000000" w:rsidDel="00000000" w:rsidP="00000000" w:rsidRDefault="00000000" w:rsidRPr="00000000" w14:paraId="00000001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Study materials 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Giannalberto Bendazzi, </w:t>
      </w:r>
      <w:r w:rsidDel="00000000" w:rsidR="00000000" w:rsidRPr="00000000">
        <w:rPr>
          <w:i w:val="1"/>
          <w:rtl w:val="0"/>
        </w:rPr>
        <w:t xml:space="preserve">Animation. A World History</w:t>
      </w:r>
      <w:r w:rsidDel="00000000" w:rsidR="00000000" w:rsidRPr="00000000">
        <w:rPr>
          <w:rtl w:val="0"/>
        </w:rPr>
        <w:t xml:space="preserve">. 3 voll., Waltham, Massachusetts: Focal Press, 2015. </w:t>
      </w:r>
    </w:p>
    <w:p w:rsidR="00000000" w:rsidDel="00000000" w:rsidP="00000000" w:rsidRDefault="00000000" w:rsidRPr="00000000" w14:paraId="00000004">
      <w:pPr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/>
        <w:contextualSpacing w:val="0"/>
        <w:rPr/>
      </w:pPr>
      <w:r w:rsidDel="00000000" w:rsidR="00000000" w:rsidRPr="00000000">
        <w:rPr>
          <w:rtl w:val="0"/>
        </w:rPr>
        <w:t xml:space="preserve">Vol. I, pp. 7-34: “Before Fantasmagorie (0-1908); “The Silent Pioneers (1908-1928)” (to study up to –and including- the section “Georges Méliès”).</w:t>
      </w:r>
    </w:p>
    <w:p w:rsidR="00000000" w:rsidDel="00000000" w:rsidP="00000000" w:rsidRDefault="00000000" w:rsidRPr="00000000" w14:paraId="00000006">
      <w:pPr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Vol. I, pp. 35-43: “The Silent Pioneers (1908-1928)” (to study from –and including- the section “Winsor McCay”); “Silent America I”; Vol. I, pp. 111-118 (to study from –and including- the section “Lantz from the Rabbit to the Woodpecker”, up to –and including- the section “The Fleischers: Betty Boop, Popeye, and Two Feature Films”).</w:t>
      </w:r>
    </w:p>
    <w:p w:rsidR="00000000" w:rsidDel="00000000" w:rsidP="00000000" w:rsidRDefault="00000000" w:rsidRPr="00000000" w14:paraId="00000008">
      <w:pPr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/>
        <w:contextualSpacing w:val="0"/>
        <w:rPr/>
      </w:pPr>
      <w:r w:rsidDel="00000000" w:rsidR="00000000" w:rsidRPr="00000000">
        <w:rPr>
          <w:rtl w:val="0"/>
        </w:rPr>
        <w:t xml:space="preserve">Vol. I, pp. 44-51: “Silent America II”.</w:t>
      </w:r>
    </w:p>
    <w:p w:rsidR="00000000" w:rsidDel="00000000" w:rsidP="00000000" w:rsidRDefault="00000000" w:rsidRPr="00000000" w14:paraId="0000000A">
      <w:pPr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/>
        <w:contextualSpacing w:val="0"/>
        <w:rPr/>
      </w:pPr>
      <w:r w:rsidDel="00000000" w:rsidR="00000000" w:rsidRPr="00000000">
        <w:rPr>
          <w:rtl w:val="0"/>
        </w:rPr>
        <w:t xml:space="preserve">Vol. I, pp. 95-109: “The Golden Age (1928-1951)”; “America Laughs!” (to study up to –and including- the section “The Twelve Rules of the Nine Men”). Vol. II, p. 12: “America” (only the section “Walt Disney”). Vol. III, pp. 10-30 (from –and including- the section “Limited Disney” up to –and including- the section “Mike Johnson”.</w:t>
      </w:r>
    </w:p>
    <w:p w:rsidR="00000000" w:rsidDel="00000000" w:rsidP="00000000" w:rsidRDefault="00000000" w:rsidRPr="00000000" w14:paraId="0000000C">
      <w:pPr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/>
        <w:contextualSpacing w:val="0"/>
        <w:rPr/>
      </w:pPr>
      <w:r w:rsidDel="00000000" w:rsidR="00000000" w:rsidRPr="00000000">
        <w:rPr>
          <w:rtl w:val="0"/>
        </w:rPr>
        <w:t xml:space="preserve">Vol. II, pp. 103-104: “America” (only the section “On the Big Screen – Feature Films”); Vol. I, pp. 118-126 (from –and including- the section “Warner Bros.” up to –and including- the section “Carl W. Stalling, Musical Animator). Vol. II, pp. 12-19 (from –and including- the section “Warner Bros.” Up to –and including- the section “Chuck Jones”).</w:t>
      </w:r>
    </w:p>
    <w:p w:rsidR="00000000" w:rsidDel="00000000" w:rsidP="00000000" w:rsidRDefault="00000000" w:rsidRPr="00000000" w14:paraId="0000000E">
      <w:pPr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/>
        <w:contextualSpacing w:val="0"/>
        <w:rPr/>
      </w:pPr>
      <w:r w:rsidDel="00000000" w:rsidR="00000000" w:rsidRPr="00000000">
        <w:rPr>
          <w:rtl w:val="0"/>
        </w:rPr>
        <w:t xml:space="preserve">Vol. II, p. 21 (only the section “MGM’s Cat and Mouse”); pp. 107-109 (only the section “On the small screen”). Vol. II, pp. 5-12 (from –and including- the section “Gerald McBoing Boing”, up to –and including- the section “The Galaxy”). Vol. I, pp. 55-65 (from –and including- the section “Germany: Animation in the Weimar Republic” up to –and including- the section “Lotte Reininger”). Vol. I, pp. 72-75 (only the section “Ladislas Starewich”); Vol. II, pp. 46-48 (only the section “Ladislas Starewich and the Feature Film). Vol. I, pp. 138-140 (only the section “Berthold Bartosch”).  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/>
        <w:contextualSpacing w:val="0"/>
        <w:rPr/>
      </w:pPr>
      <w:r w:rsidDel="00000000" w:rsidR="00000000" w:rsidRPr="00000000">
        <w:rPr>
          <w:rtl w:val="0"/>
        </w:rPr>
        <w:t xml:space="preserve">Vol. I, pp. 167-169 (only the section “Italy”); Vol. II, pp. 215-216 (only the section “Italy: Allegro non troppo”).</w:t>
      </w:r>
    </w:p>
    <w:p w:rsidR="00000000" w:rsidDel="00000000" w:rsidP="00000000" w:rsidRDefault="00000000" w:rsidRPr="00000000" w14:paraId="00000012">
      <w:pPr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/>
        <w:contextualSpacing w:val="0"/>
        <w:rPr/>
      </w:pPr>
      <w:r w:rsidDel="00000000" w:rsidR="00000000" w:rsidRPr="00000000">
        <w:rPr>
          <w:rtl w:val="0"/>
        </w:rPr>
        <w:t xml:space="preserve">Vol. II, pp. 216-223 (from –and including- the section “Bruno Bozzetto” up to –and including- the section “Cioni Carpi”).</w:t>
      </w:r>
    </w:p>
    <w:p w:rsidR="00000000" w:rsidDel="00000000" w:rsidP="00000000" w:rsidRDefault="00000000" w:rsidRPr="00000000" w14:paraId="00000014">
      <w:pPr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"/>
        <w:contextualSpacing w:val="0"/>
        <w:rPr/>
      </w:pPr>
      <w:r w:rsidDel="00000000" w:rsidR="00000000" w:rsidRPr="00000000">
        <w:rPr>
          <w:rtl w:val="0"/>
        </w:rPr>
        <w:t xml:space="preserve">Vol. II, pp. 41-46 (up to –and including- the section “Grimault and the Stories from the Front”); pp. 164-168 from –and including- the section “Young Aardman &amp; Co.” up to –and including- the section “Richard Williams”); pp. 172-177 (from –and including- the section “France: From Craftmanship to Ambition” up to –and including- the section “Jean-Françoise Laguionie”); Vol. III, pp. 85-87 (from –and including- the section “Aardman” up to –and including- the section “Nick Park”); pp. 105-106 (only the section “Michel Ocelot”).</w:t>
      </w:r>
    </w:p>
    <w:p w:rsidR="00000000" w:rsidDel="00000000" w:rsidP="00000000" w:rsidRDefault="00000000" w:rsidRPr="00000000" w14:paraId="00000016">
      <w:pPr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/>
        <w:contextualSpacing w:val="0"/>
        <w:rPr/>
      </w:pPr>
      <w:r w:rsidDel="00000000" w:rsidR="00000000" w:rsidRPr="00000000">
        <w:rPr>
          <w:rtl w:val="0"/>
        </w:rPr>
        <w:t xml:space="preserve">Vol. II, pp. 57-59 (only the section “Czechoslovakia and Puppets”); Vol. II, pp. 60-68 (from –and including- the section “Karel Zeman” up to –and including- the section “The Music of the Puppets”). Vol. II, pp. 68-70 (section “Yugoslavia: The First Stage of the Zagreb School”). Vol. II, pp. 262-273 (from –and including- the section “Yugoslavia: The New Zagreb School”, up to –and including- the section “Other artists”). Vol. II, pp. 76- 83 (from –and including- the section “Russia” up to –and including- the section “Ivan Ivanov-Vano”). Vol. II, pp. 280-284 (from –and including- the section “Russia” up to –and including- the section “Quality Hatches at Soyuzmultfilm”); Vol. II, pp. 294-297 (section “Fedor Khitruk”); Vol. II, pp. 301-304 (section “Yuri Norstein”); Vol. II, pp. 309-311 (section “More about it”). Vol. I, pp. 187-188 (section “China”); Vol. II, pp. 89-90 (section “China”); Vol. III, pp. 270-271 (section “China”).</w:t>
      </w:r>
    </w:p>
    <w:p w:rsidR="00000000" w:rsidDel="00000000" w:rsidP="00000000" w:rsidRDefault="00000000" w:rsidRPr="00000000" w14:paraId="00000018">
      <w:pPr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60"/>
        <w:contextualSpacing w:val="0"/>
        <w:rPr/>
      </w:pPr>
      <w:r w:rsidDel="00000000" w:rsidR="00000000" w:rsidRPr="00000000">
        <w:rPr>
          <w:rtl w:val="0"/>
        </w:rPr>
        <w:t xml:space="preserve">Vol. I, pp. 82-84 (chapter “Silent Asia”); Vol. II, pp. 85-88: “Asia” (to study up to –and including- the section “Experiments”); Vol. II, pp. 335-347: “Asia” (to study up to –and including- the section “Toei’s Fortunes”); Vol. II, pp. 360-374 (from –and including- the section “The Tokusatsu Factor” up to –and including- the section “Akira and the End of the Decade”).</w:t>
      </w:r>
    </w:p>
    <w:p w:rsidR="00000000" w:rsidDel="00000000" w:rsidP="00000000" w:rsidRDefault="00000000" w:rsidRPr="00000000" w14:paraId="0000001A">
      <w:pPr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"/>
        <w:contextualSpacing w:val="0"/>
        <w:rPr/>
      </w:pPr>
      <w:r w:rsidDel="00000000" w:rsidR="00000000" w:rsidRPr="00000000">
        <w:rPr>
          <w:rtl w:val="0"/>
        </w:rPr>
        <w:t xml:space="preserve">Vol. III, pp. 214-243: “Asia” (to study up to –and including- the section “Yamamura Koji”); Vol. III, pp. 247-248 (from –and including- the section “Conclusions” up to –and including- the section “Challenges”).</w:t>
      </w:r>
    </w:p>
    <w:p w:rsidR="00000000" w:rsidDel="00000000" w:rsidP="00000000" w:rsidRDefault="00000000" w:rsidRPr="00000000" w14:paraId="0000001C">
      <w:pPr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/>
        <w:contextualSpacing w:val="0"/>
        <w:rPr/>
      </w:pPr>
      <w:r w:rsidDel="00000000" w:rsidR="00000000" w:rsidRPr="00000000">
        <w:rPr>
          <w:rtl w:val="0"/>
        </w:rPr>
        <w:t xml:space="preserve">Vol. I, pp. 140-147: “Alexandre Alexeïeff”; Vol. I, pp. 153-157: Oskar Fischinger; Vol. II, pp. 30-36: “Norman McLaren”.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Andrew Selby, </w:t>
      </w:r>
      <w:r w:rsidDel="00000000" w:rsidR="00000000" w:rsidRPr="00000000">
        <w:rPr>
          <w:i w:val="1"/>
          <w:rtl w:val="0"/>
        </w:rPr>
        <w:t xml:space="preserve">Animation</w:t>
      </w:r>
      <w:r w:rsidDel="00000000" w:rsidR="00000000" w:rsidRPr="00000000">
        <w:rPr>
          <w:rtl w:val="0"/>
        </w:rPr>
        <w:t xml:space="preserve">. London: Laurence King Publishing, 2013. </w:t>
      </w:r>
    </w:p>
    <w:p w:rsidR="00000000" w:rsidDel="00000000" w:rsidP="00000000" w:rsidRDefault="00000000" w:rsidRPr="00000000" w14:paraId="00000021">
      <w:pPr>
        <w:ind w:firstLine="360"/>
        <w:contextualSpacing w:val="0"/>
        <w:rPr/>
      </w:pPr>
      <w:r w:rsidDel="00000000" w:rsidR="00000000" w:rsidRPr="00000000">
        <w:rPr>
          <w:rtl w:val="0"/>
        </w:rPr>
        <w:t xml:space="preserve">pp. 6-10</w:t>
      </w:r>
    </w:p>
    <w:p w:rsidR="00000000" w:rsidDel="00000000" w:rsidP="00000000" w:rsidRDefault="00000000" w:rsidRPr="00000000" w14:paraId="00000022">
      <w:pPr>
        <w:ind w:firstLine="360"/>
        <w:contextualSpacing w:val="0"/>
        <w:rPr/>
      </w:pPr>
      <w:r w:rsidDel="00000000" w:rsidR="00000000" w:rsidRPr="00000000">
        <w:rPr>
          <w:rtl w:val="0"/>
        </w:rPr>
        <w:t xml:space="preserve">pp. 128-158</w:t>
      </w:r>
    </w:p>
    <w:p w:rsidR="00000000" w:rsidDel="00000000" w:rsidP="00000000" w:rsidRDefault="00000000" w:rsidRPr="00000000" w14:paraId="00000023">
      <w:pPr>
        <w:ind w:firstLine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Donald Crafton, </w:t>
      </w:r>
      <w:r w:rsidDel="00000000" w:rsidR="00000000" w:rsidRPr="00000000">
        <w:rPr>
          <w:i w:val="1"/>
          <w:rtl w:val="0"/>
        </w:rPr>
        <w:t xml:space="preserve">Before Mickey. The Animated Film 1898-1928</w:t>
      </w:r>
      <w:r w:rsidDel="00000000" w:rsidR="00000000" w:rsidRPr="00000000">
        <w:rPr>
          <w:rtl w:val="0"/>
        </w:rPr>
        <w:t xml:space="preserve">. Chicago: University of Chicago Press, 1993. </w:t>
      </w:r>
    </w:p>
    <w:p w:rsidR="00000000" w:rsidDel="00000000" w:rsidP="00000000" w:rsidRDefault="00000000" w:rsidRPr="00000000" w14:paraId="00000026">
      <w:pPr>
        <w:ind w:left="360"/>
        <w:contextualSpacing w:val="0"/>
        <w:rPr/>
      </w:pPr>
      <w:r w:rsidDel="00000000" w:rsidR="00000000" w:rsidRPr="00000000">
        <w:rPr>
          <w:rtl w:val="0"/>
        </w:rPr>
        <w:t xml:space="preserve">pp. 3-33</w:t>
      </w:r>
    </w:p>
    <w:p w:rsidR="00000000" w:rsidDel="00000000" w:rsidP="00000000" w:rsidRDefault="00000000" w:rsidRPr="00000000" w14:paraId="00000027">
      <w:pPr>
        <w:ind w:left="360"/>
        <w:contextualSpacing w:val="0"/>
        <w:rPr/>
      </w:pPr>
      <w:r w:rsidDel="00000000" w:rsidR="00000000" w:rsidRPr="00000000">
        <w:rPr>
          <w:rtl w:val="0"/>
        </w:rPr>
        <w:t xml:space="preserve">pp. 58-135</w:t>
      </w:r>
    </w:p>
    <w:p w:rsidR="00000000" w:rsidDel="00000000" w:rsidP="00000000" w:rsidRDefault="00000000" w:rsidRPr="00000000" w14:paraId="00000028">
      <w:pPr>
        <w:ind w:left="360"/>
        <w:contextualSpacing w:val="0"/>
        <w:rPr/>
      </w:pPr>
      <w:r w:rsidDel="00000000" w:rsidR="00000000" w:rsidRPr="00000000">
        <w:rPr>
          <w:rtl w:val="0"/>
        </w:rPr>
        <w:t xml:space="preserve">pp. 301-346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Paul Ward, “’Smarter Than the Average Art Form’. Animation in the Television Era”, in Carol A. Stabile, Mark Harrison (eds.), </w:t>
      </w:r>
      <w:r w:rsidDel="00000000" w:rsidR="00000000" w:rsidRPr="00000000">
        <w:rPr>
          <w:i w:val="1"/>
          <w:rtl w:val="0"/>
        </w:rPr>
        <w:t xml:space="preserve">Prime Time Animation. Television Animation and American Culture</w:t>
      </w:r>
      <w:r w:rsidDel="00000000" w:rsidR="00000000" w:rsidRPr="00000000">
        <w:rPr>
          <w:rtl w:val="0"/>
        </w:rPr>
        <w:t xml:space="preserve">. London: Routledge, 2003, pp. 15-32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contextualSpacing w:val="0"/>
        <w:rPr/>
      </w:pPr>
      <w:r w:rsidDel="00000000" w:rsidR="00000000" w:rsidRPr="00000000">
        <w:rPr>
          <w:rtl w:val="0"/>
        </w:rPr>
        <w:t xml:space="preserve">Rayna Denison, </w:t>
      </w:r>
      <w:r w:rsidDel="00000000" w:rsidR="00000000" w:rsidRPr="00000000">
        <w:rPr>
          <w:i w:val="1"/>
          <w:rtl w:val="0"/>
        </w:rPr>
        <w:t xml:space="preserve">Anime: A Critical Introduction</w:t>
      </w:r>
      <w:r w:rsidDel="00000000" w:rsidR="00000000" w:rsidRPr="00000000">
        <w:rPr>
          <w:rtl w:val="0"/>
        </w:rPr>
        <w:t xml:space="preserve">. New York: Bloomsbury, 2015.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 xml:space="preserve">pp. 1-29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40" w:w="11900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