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B980D" w14:textId="77777777" w:rsidR="008E13FD" w:rsidRDefault="008E13FD" w:rsidP="008E13FD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bookmarkStart w:id="0" w:name="_GoBack"/>
      <w:bookmarkEnd w:id="0"/>
      <w:r>
        <w:rPr>
          <w:rFonts w:ascii="Times" w:hAnsi="Times" w:cs="Times"/>
        </w:rPr>
        <w:t>Seminario di informatica umanistica</w:t>
      </w:r>
    </w:p>
    <w:p w14:paraId="59951545" w14:textId="77777777" w:rsidR="008E13FD" w:rsidRDefault="008E13FD" w:rsidP="008E13FD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>Marta Materni (</w:t>
      </w:r>
      <w:proofErr w:type="spellStart"/>
      <w:r>
        <w:rPr>
          <w:rFonts w:ascii="Times" w:hAnsi="Times" w:cs="Times"/>
        </w:rPr>
        <w:t>chercheur</w:t>
      </w:r>
      <w:proofErr w:type="spellEnd"/>
      <w:r>
        <w:rPr>
          <w:rFonts w:ascii="Times" w:hAnsi="Times" w:cs="Times"/>
        </w:rPr>
        <w:t xml:space="preserve"> post-doc, Marie Curie </w:t>
      </w:r>
      <w:proofErr w:type="spellStart"/>
      <w:r>
        <w:rPr>
          <w:rFonts w:ascii="Times" w:hAnsi="Times" w:cs="Times"/>
        </w:rPr>
        <w:t>Fellow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Université</w:t>
      </w:r>
      <w:proofErr w:type="spellEnd"/>
      <w:r>
        <w:rPr>
          <w:rFonts w:ascii="Times" w:hAnsi="Times" w:cs="Times"/>
        </w:rPr>
        <w:t xml:space="preserve"> Grenoble Alpes)</w:t>
      </w:r>
    </w:p>
    <w:p w14:paraId="475DDD4B" w14:textId="77777777" w:rsidR="008E13FD" w:rsidRDefault="008E13FD" w:rsidP="008E13FD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>Padova, 22-24 aprile 2020</w:t>
      </w:r>
    </w:p>
    <w:p w14:paraId="76FF6F4B" w14:textId="77777777" w:rsidR="008E13FD" w:rsidRDefault="008E13FD" w:rsidP="008E13FD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</w:p>
    <w:p w14:paraId="405D8369" w14:textId="77777777" w:rsidR="008E13FD" w:rsidRDefault="008E13FD" w:rsidP="008E13FD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222222"/>
          <w:kern w:val="1"/>
          <w:sz w:val="28"/>
          <w:szCs w:val="28"/>
        </w:rPr>
      </w:pPr>
      <w:r>
        <w:rPr>
          <w:rFonts w:ascii="Times" w:hAnsi="Times" w:cs="Times"/>
          <w:b/>
          <w:bCs/>
          <w:color w:val="222222"/>
          <w:sz w:val="28"/>
          <w:szCs w:val="28"/>
        </w:rPr>
        <w:t>La Galassia Busa-Bush: analisi e rappresentazione del testo in epoca digitale</w:t>
      </w:r>
    </w:p>
    <w:p w14:paraId="5E873406" w14:textId="77777777" w:rsidR="008E13FD" w:rsidRDefault="008E13FD" w:rsidP="008E13FD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kern w:val="1"/>
        </w:rPr>
      </w:pPr>
    </w:p>
    <w:p w14:paraId="03E3C511" w14:textId="77777777" w:rsidR="008E13FD" w:rsidRDefault="008E13FD" w:rsidP="008E13FD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kern w:val="1"/>
        </w:rPr>
      </w:pPr>
    </w:p>
    <w:p w14:paraId="540BCC74" w14:textId="77777777" w:rsidR="008E13FD" w:rsidRDefault="008E13FD" w:rsidP="008E13FD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kern w:val="1"/>
        </w:rPr>
      </w:pPr>
      <w:r>
        <w:rPr>
          <w:rFonts w:ascii="Times" w:hAnsi="Times" w:cs="Times"/>
          <w:kern w:val="1"/>
        </w:rPr>
        <w:t xml:space="preserve">Benché la presenza del digitale nel nostro quotidiano costituisca ormai una sorta di ovvietà, la coscienza critica rispetto a questa presenza è ancora lontana dall’essere solida. Per limitarsi all’ambito accademico, nonostante i decenni di pratica ed esperimenti e nonostante un </w:t>
      </w:r>
      <w:r>
        <w:rPr>
          <w:rFonts w:ascii="Times" w:hAnsi="Times" w:cs="Times"/>
          <w:i/>
          <w:iCs/>
          <w:kern w:val="1"/>
        </w:rPr>
        <w:t xml:space="preserve">Manifesto delle Digital </w:t>
      </w:r>
      <w:proofErr w:type="spellStart"/>
      <w:r>
        <w:rPr>
          <w:rFonts w:ascii="Times" w:hAnsi="Times" w:cs="Times"/>
          <w:i/>
          <w:iCs/>
          <w:kern w:val="1"/>
        </w:rPr>
        <w:t>Humanities</w:t>
      </w:r>
      <w:proofErr w:type="spellEnd"/>
      <w:r>
        <w:rPr>
          <w:rFonts w:ascii="Times" w:hAnsi="Times" w:cs="Times"/>
          <w:kern w:val="1"/>
        </w:rPr>
        <w:t xml:space="preserve"> formulato nel 2010, la discussione identitaria – cosa sono le Digital </w:t>
      </w:r>
      <w:proofErr w:type="spellStart"/>
      <w:r>
        <w:rPr>
          <w:rFonts w:ascii="Times" w:hAnsi="Times" w:cs="Times"/>
          <w:kern w:val="1"/>
        </w:rPr>
        <w:t>Humanities</w:t>
      </w:r>
      <w:proofErr w:type="spellEnd"/>
      <w:r>
        <w:rPr>
          <w:rFonts w:ascii="Times" w:hAnsi="Times" w:cs="Times"/>
          <w:kern w:val="1"/>
        </w:rPr>
        <w:t xml:space="preserve">? come si inquadrano le Digital </w:t>
      </w:r>
      <w:proofErr w:type="spellStart"/>
      <w:r>
        <w:rPr>
          <w:rFonts w:ascii="Times" w:hAnsi="Times" w:cs="Times"/>
          <w:kern w:val="1"/>
        </w:rPr>
        <w:t>Humanities</w:t>
      </w:r>
      <w:proofErr w:type="spellEnd"/>
      <w:r>
        <w:rPr>
          <w:rFonts w:ascii="Times" w:hAnsi="Times" w:cs="Times"/>
          <w:kern w:val="1"/>
        </w:rPr>
        <w:t xml:space="preserve"> nella cornice accademica? – è ancora oggi un argomento scottante. Il recente volume di sintesi di Pierre </w:t>
      </w:r>
      <w:proofErr w:type="spellStart"/>
      <w:r>
        <w:rPr>
          <w:rFonts w:ascii="Times" w:hAnsi="Times" w:cs="Times"/>
          <w:kern w:val="1"/>
        </w:rPr>
        <w:t>Mounier</w:t>
      </w:r>
      <w:proofErr w:type="spellEnd"/>
      <w:r>
        <w:rPr>
          <w:rFonts w:ascii="Times" w:hAnsi="Times" w:cs="Times"/>
          <w:kern w:val="1"/>
        </w:rPr>
        <w:t xml:space="preserve">, </w:t>
      </w:r>
      <w:proofErr w:type="spellStart"/>
      <w:r>
        <w:rPr>
          <w:rFonts w:ascii="Times" w:hAnsi="Times" w:cs="Times"/>
          <w:i/>
          <w:iCs/>
          <w:kern w:val="1"/>
        </w:rPr>
        <w:t>Les</w:t>
      </w:r>
      <w:proofErr w:type="spellEnd"/>
      <w:r>
        <w:rPr>
          <w:rFonts w:ascii="Times" w:hAnsi="Times" w:cs="Times"/>
          <w:i/>
          <w:iCs/>
          <w:kern w:val="1"/>
        </w:rPr>
        <w:t xml:space="preserve"> </w:t>
      </w:r>
      <w:proofErr w:type="spellStart"/>
      <w:r>
        <w:rPr>
          <w:rFonts w:ascii="Times" w:hAnsi="Times" w:cs="Times"/>
          <w:i/>
          <w:iCs/>
          <w:kern w:val="1"/>
        </w:rPr>
        <w:t>Humanités</w:t>
      </w:r>
      <w:proofErr w:type="spellEnd"/>
      <w:r>
        <w:rPr>
          <w:rFonts w:ascii="Times" w:hAnsi="Times" w:cs="Times"/>
          <w:i/>
          <w:iCs/>
          <w:kern w:val="1"/>
        </w:rPr>
        <w:t xml:space="preserve"> </w:t>
      </w:r>
      <w:proofErr w:type="spellStart"/>
      <w:r>
        <w:rPr>
          <w:rFonts w:ascii="Times" w:hAnsi="Times" w:cs="Times"/>
          <w:i/>
          <w:iCs/>
          <w:kern w:val="1"/>
        </w:rPr>
        <w:t>Numériques</w:t>
      </w:r>
      <w:proofErr w:type="spellEnd"/>
      <w:r>
        <w:rPr>
          <w:rFonts w:ascii="Times" w:hAnsi="Times" w:cs="Times"/>
          <w:i/>
          <w:iCs/>
          <w:kern w:val="1"/>
        </w:rPr>
        <w:t xml:space="preserve">: une histoire </w:t>
      </w:r>
      <w:proofErr w:type="spellStart"/>
      <w:r>
        <w:rPr>
          <w:rFonts w:ascii="Times" w:hAnsi="Times" w:cs="Times"/>
          <w:i/>
          <w:iCs/>
          <w:kern w:val="1"/>
        </w:rPr>
        <w:t>critique</w:t>
      </w:r>
      <w:proofErr w:type="spellEnd"/>
      <w:r>
        <w:rPr>
          <w:rFonts w:ascii="Times" w:hAnsi="Times" w:cs="Times"/>
          <w:kern w:val="1"/>
        </w:rPr>
        <w:t xml:space="preserve"> (2018), riassume perfettamente già nel titolo il problema. </w:t>
      </w:r>
    </w:p>
    <w:p w14:paraId="63AF6F95" w14:textId="77777777" w:rsidR="008E13FD" w:rsidRDefault="008E13FD" w:rsidP="008E13FD">
      <w:pPr>
        <w:widowControl w:val="0"/>
        <w:autoSpaceDE w:val="0"/>
        <w:autoSpaceDN w:val="0"/>
        <w:adjustRightInd w:val="0"/>
        <w:ind w:firstLine="283"/>
        <w:jc w:val="both"/>
        <w:rPr>
          <w:rFonts w:ascii="Times" w:hAnsi="Times" w:cs="Times"/>
          <w:kern w:val="1"/>
        </w:rPr>
      </w:pPr>
      <w:r>
        <w:rPr>
          <w:rFonts w:ascii="Times" w:hAnsi="Times" w:cs="Times"/>
          <w:kern w:val="1"/>
        </w:rPr>
        <w:t xml:space="preserve">Rispetto a questo mare magnum, il seminario si concentrerà su un aspetto specifico: l’interazione possibile tra lo strumento/metodologia digitale e il Testo, in una prospettiva filologica. Da una parte, nel solco di Roberto Busa, padre nobile della linguistica computazionale, si offrirà un panorama degli strumenti informatici di analisi e rappresentazione del testo; un’attenzione particolare verrà riservata alla codifica testuale in XML-TEI, che attualmente costituisce lo standard nell’ambito delle edizioni digitali. Dall’altra, nel solco di </w:t>
      </w:r>
      <w:proofErr w:type="spellStart"/>
      <w:r>
        <w:rPr>
          <w:rFonts w:ascii="Times" w:hAnsi="Times" w:cs="Times"/>
          <w:kern w:val="1"/>
        </w:rPr>
        <w:t>Vannevar</w:t>
      </w:r>
      <w:proofErr w:type="spellEnd"/>
      <w:r>
        <w:rPr>
          <w:rFonts w:ascii="Times" w:hAnsi="Times" w:cs="Times"/>
          <w:kern w:val="1"/>
        </w:rPr>
        <w:t xml:space="preserve"> Bush, inventore del </w:t>
      </w:r>
      <w:proofErr w:type="spellStart"/>
      <w:r>
        <w:rPr>
          <w:rFonts w:ascii="Times" w:hAnsi="Times" w:cs="Times"/>
          <w:kern w:val="1"/>
        </w:rPr>
        <w:t>Memex</w:t>
      </w:r>
      <w:proofErr w:type="spellEnd"/>
      <w:r>
        <w:rPr>
          <w:rFonts w:ascii="Times" w:hAnsi="Times" w:cs="Times"/>
          <w:kern w:val="1"/>
        </w:rPr>
        <w:t>, si introdurrà la questione della nascita di una nuova forma testuale, l’ipertesto, per la quale sarà forse necessario fondare una nuova filologia, la filologia del testo digitale.</w:t>
      </w:r>
    </w:p>
    <w:p w14:paraId="5C58811E" w14:textId="77777777" w:rsidR="008E13FD" w:rsidRDefault="008E13FD" w:rsidP="008E13FD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kern w:val="1"/>
        </w:rPr>
      </w:pPr>
    </w:p>
    <w:p w14:paraId="4A5E3B82" w14:textId="77777777" w:rsidR="008E13FD" w:rsidRDefault="008E13FD" w:rsidP="008E13FD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kern w:val="1"/>
        </w:rPr>
      </w:pPr>
      <w:r>
        <w:rPr>
          <w:rFonts w:ascii="Times" w:hAnsi="Times" w:cs="Times"/>
          <w:b/>
          <w:bCs/>
          <w:kern w:val="1"/>
        </w:rPr>
        <w:t>22 aprile.</w:t>
      </w:r>
      <w:r>
        <w:rPr>
          <w:rFonts w:ascii="Times" w:hAnsi="Times" w:cs="Times"/>
          <w:kern w:val="1"/>
        </w:rPr>
        <w:t xml:space="preserve"> Sala “Carlo Diano” (ex Presidenza), presso il Liviano</w:t>
      </w:r>
    </w:p>
    <w:p w14:paraId="1C1DBB60" w14:textId="77777777" w:rsidR="008E13FD" w:rsidRDefault="008E13FD" w:rsidP="008E13FD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222222"/>
          <w:kern w:val="1"/>
        </w:rPr>
      </w:pPr>
      <w:r>
        <w:rPr>
          <w:rFonts w:ascii="Times" w:hAnsi="Times" w:cs="Times"/>
          <w:i/>
          <w:iCs/>
          <w:color w:val="222222"/>
        </w:rPr>
        <w:t xml:space="preserve">Una </w:t>
      </w:r>
      <w:proofErr w:type="spellStart"/>
      <w:r>
        <w:rPr>
          <w:rFonts w:ascii="Times" w:hAnsi="Times" w:cs="Times"/>
          <w:i/>
          <w:iCs/>
          <w:color w:val="222222"/>
        </w:rPr>
        <w:t>Archéologie</w:t>
      </w:r>
      <w:proofErr w:type="spellEnd"/>
      <w:r>
        <w:rPr>
          <w:rFonts w:ascii="Times" w:hAnsi="Times" w:cs="Times"/>
          <w:i/>
          <w:iCs/>
          <w:color w:val="222222"/>
        </w:rPr>
        <w:t xml:space="preserve"> </w:t>
      </w:r>
      <w:proofErr w:type="spellStart"/>
      <w:r>
        <w:rPr>
          <w:rFonts w:ascii="Times" w:hAnsi="Times" w:cs="Times"/>
          <w:i/>
          <w:iCs/>
          <w:color w:val="222222"/>
        </w:rPr>
        <w:t>du</w:t>
      </w:r>
      <w:proofErr w:type="spellEnd"/>
      <w:r>
        <w:rPr>
          <w:rFonts w:ascii="Times" w:hAnsi="Times" w:cs="Times"/>
          <w:i/>
          <w:iCs/>
          <w:color w:val="222222"/>
        </w:rPr>
        <w:t xml:space="preserve"> </w:t>
      </w:r>
      <w:proofErr w:type="spellStart"/>
      <w:r>
        <w:rPr>
          <w:rFonts w:ascii="Times" w:hAnsi="Times" w:cs="Times"/>
          <w:i/>
          <w:iCs/>
          <w:color w:val="222222"/>
        </w:rPr>
        <w:t>savoir</w:t>
      </w:r>
      <w:proofErr w:type="spellEnd"/>
      <w:r>
        <w:rPr>
          <w:rFonts w:ascii="Times" w:hAnsi="Times" w:cs="Times"/>
          <w:i/>
          <w:iCs/>
          <w:color w:val="222222"/>
        </w:rPr>
        <w:t xml:space="preserve"> o epistemologia della scienza informatica applicata al testo</w:t>
      </w:r>
    </w:p>
    <w:p w14:paraId="3BAA20DA" w14:textId="77777777" w:rsidR="008E13FD" w:rsidRDefault="008E13FD" w:rsidP="008E13FD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222222"/>
          <w:kern w:val="1"/>
        </w:rPr>
      </w:pPr>
    </w:p>
    <w:p w14:paraId="08BB0FE9" w14:textId="77777777" w:rsidR="008E13FD" w:rsidRDefault="008E13FD" w:rsidP="008E13FD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222222"/>
          <w:kern w:val="1"/>
        </w:rPr>
      </w:pPr>
      <w:r>
        <w:rPr>
          <w:rFonts w:ascii="Times" w:hAnsi="Times" w:cs="Times"/>
          <w:color w:val="222222"/>
        </w:rPr>
        <w:t xml:space="preserve">9.00-11.00 Digital </w:t>
      </w:r>
      <w:proofErr w:type="spellStart"/>
      <w:r>
        <w:rPr>
          <w:rFonts w:ascii="Times" w:hAnsi="Times" w:cs="Times"/>
          <w:color w:val="222222"/>
        </w:rPr>
        <w:t>Humanities</w:t>
      </w:r>
      <w:proofErr w:type="spellEnd"/>
      <w:r>
        <w:rPr>
          <w:rFonts w:ascii="Times" w:hAnsi="Times" w:cs="Times"/>
          <w:color w:val="222222"/>
        </w:rPr>
        <w:t>/</w:t>
      </w:r>
      <w:proofErr w:type="spellStart"/>
      <w:r>
        <w:rPr>
          <w:rFonts w:ascii="Times" w:hAnsi="Times" w:cs="Times"/>
          <w:color w:val="222222"/>
        </w:rPr>
        <w:t>Humanités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Numériques</w:t>
      </w:r>
      <w:proofErr w:type="spellEnd"/>
      <w:r>
        <w:rPr>
          <w:rFonts w:ascii="Times" w:hAnsi="Times" w:cs="Times"/>
          <w:color w:val="222222"/>
        </w:rPr>
        <w:t xml:space="preserve">/Informatica Umanistica: un problema di definizione identitaria. La galassia Busa-Bush: </w:t>
      </w:r>
      <w:r>
        <w:rPr>
          <w:rFonts w:ascii="Times" w:hAnsi="Times" w:cs="Times"/>
          <w:i/>
          <w:iCs/>
          <w:color w:val="222222"/>
        </w:rPr>
        <w:t xml:space="preserve">Index </w:t>
      </w:r>
      <w:proofErr w:type="spellStart"/>
      <w:r>
        <w:rPr>
          <w:rFonts w:ascii="Times" w:hAnsi="Times" w:cs="Times"/>
          <w:i/>
          <w:iCs/>
          <w:color w:val="222222"/>
        </w:rPr>
        <w:t>Tomisticum</w:t>
      </w:r>
      <w:proofErr w:type="spellEnd"/>
      <w:r>
        <w:rPr>
          <w:rFonts w:ascii="Times" w:hAnsi="Times" w:cs="Times"/>
          <w:color w:val="222222"/>
        </w:rPr>
        <w:t xml:space="preserve"> e Ipertesto.</w:t>
      </w:r>
    </w:p>
    <w:p w14:paraId="0B5E006A" w14:textId="77777777" w:rsidR="008E13FD" w:rsidRDefault="008E13FD" w:rsidP="008E13FD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222222"/>
          <w:kern w:val="1"/>
        </w:rPr>
      </w:pPr>
      <w:r>
        <w:rPr>
          <w:rFonts w:ascii="Times" w:hAnsi="Times" w:cs="Times"/>
          <w:color w:val="222222"/>
        </w:rPr>
        <w:t>11.30-13.30 Nozioni di base del pensiero informatico: decontestualizzazione e formalizzazione. Lessico tecnico indispensabile.</w:t>
      </w:r>
    </w:p>
    <w:p w14:paraId="3042A0C6" w14:textId="77777777" w:rsidR="008E13FD" w:rsidRDefault="008E13FD" w:rsidP="008E13FD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222222"/>
          <w:kern w:val="1"/>
        </w:rPr>
      </w:pPr>
      <w:r>
        <w:rPr>
          <w:rFonts w:ascii="Times" w:hAnsi="Times" w:cs="Times"/>
          <w:color w:val="222222"/>
        </w:rPr>
        <w:t>14.30-16.30 Filologia digitalizzata/Filologia computazionale/Filologia del digitale: nuovi strumenti per vecchie metodologie e vecchie metodologie per nuovi contesti testuali.</w:t>
      </w:r>
    </w:p>
    <w:p w14:paraId="071EA399" w14:textId="77777777" w:rsidR="008E13FD" w:rsidRDefault="008E13FD" w:rsidP="008E13FD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222222"/>
          <w:kern w:val="1"/>
        </w:rPr>
      </w:pPr>
    </w:p>
    <w:p w14:paraId="3D76EBFD" w14:textId="77777777" w:rsidR="008E13FD" w:rsidRDefault="008E13FD" w:rsidP="008E13FD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222222"/>
          <w:kern w:val="1"/>
        </w:rPr>
      </w:pPr>
      <w:r>
        <w:rPr>
          <w:rFonts w:ascii="Times" w:hAnsi="Times" w:cs="Times"/>
          <w:b/>
          <w:bCs/>
          <w:color w:val="222222"/>
        </w:rPr>
        <w:t>23 aprile.</w:t>
      </w:r>
      <w:r>
        <w:rPr>
          <w:rFonts w:ascii="Times" w:hAnsi="Times" w:cs="Times"/>
          <w:color w:val="222222"/>
        </w:rPr>
        <w:t xml:space="preserve"> Aula 5 del </w:t>
      </w:r>
      <w:proofErr w:type="spellStart"/>
      <w:r>
        <w:rPr>
          <w:rFonts w:ascii="Times" w:hAnsi="Times" w:cs="Times"/>
          <w:color w:val="222222"/>
        </w:rPr>
        <w:t>Capitaniato</w:t>
      </w:r>
      <w:proofErr w:type="spellEnd"/>
      <w:r>
        <w:rPr>
          <w:rFonts w:ascii="Times" w:hAnsi="Times" w:cs="Times"/>
          <w:color w:val="222222"/>
        </w:rPr>
        <w:t xml:space="preserve"> (Palazzo del </w:t>
      </w:r>
      <w:proofErr w:type="spellStart"/>
      <w:r>
        <w:rPr>
          <w:rFonts w:ascii="Times" w:hAnsi="Times" w:cs="Times"/>
          <w:color w:val="222222"/>
        </w:rPr>
        <w:t>Capitanio</w:t>
      </w:r>
      <w:proofErr w:type="spellEnd"/>
      <w:r>
        <w:rPr>
          <w:rFonts w:ascii="Times" w:hAnsi="Times" w:cs="Times"/>
          <w:color w:val="222222"/>
        </w:rPr>
        <w:t>)</w:t>
      </w:r>
    </w:p>
    <w:p w14:paraId="164826B9" w14:textId="77777777" w:rsidR="008E13FD" w:rsidRDefault="008E13FD" w:rsidP="008E13FD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222222"/>
          <w:kern w:val="1"/>
        </w:rPr>
      </w:pPr>
      <w:r>
        <w:rPr>
          <w:rFonts w:ascii="Times" w:hAnsi="Times" w:cs="Times"/>
          <w:i/>
          <w:iCs/>
          <w:color w:val="222222"/>
        </w:rPr>
        <w:t>La codifica del testo come forma di rappresentazione della conoscenza</w:t>
      </w:r>
    </w:p>
    <w:p w14:paraId="69024A91" w14:textId="77777777" w:rsidR="008E13FD" w:rsidRDefault="008E13FD" w:rsidP="008E13FD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222222"/>
          <w:kern w:val="1"/>
        </w:rPr>
      </w:pPr>
    </w:p>
    <w:p w14:paraId="17F381D5" w14:textId="77777777" w:rsidR="008E13FD" w:rsidRDefault="008E13FD" w:rsidP="008E13FD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222222"/>
          <w:kern w:val="1"/>
        </w:rPr>
      </w:pPr>
      <w:r>
        <w:rPr>
          <w:rFonts w:ascii="Times" w:hAnsi="Times" w:cs="Times"/>
          <w:color w:val="222222"/>
        </w:rPr>
        <w:t xml:space="preserve">9.00-11.00 Introduzione ai linguaggi di marcatura del testo (XML, HTML): sistema WYSIWYG </w:t>
      </w:r>
      <w:r>
        <w:rPr>
          <w:rFonts w:ascii="Times" w:hAnsi="Times" w:cs="Times"/>
          <w:i/>
          <w:iCs/>
          <w:color w:val="222222"/>
        </w:rPr>
        <w:t>vs.</w:t>
      </w:r>
      <w:r>
        <w:rPr>
          <w:rFonts w:ascii="Times" w:hAnsi="Times" w:cs="Times"/>
          <w:color w:val="222222"/>
        </w:rPr>
        <w:t xml:space="preserve"> sistema WYSIWYM. Grammatica e sintassi dei linguaggi di marcatura.</w:t>
      </w:r>
    </w:p>
    <w:p w14:paraId="73C88418" w14:textId="77777777" w:rsidR="008E13FD" w:rsidRDefault="008E13FD" w:rsidP="008E13FD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222222"/>
          <w:kern w:val="1"/>
        </w:rPr>
      </w:pPr>
      <w:r>
        <w:rPr>
          <w:rFonts w:ascii="Times" w:hAnsi="Times" w:cs="Times"/>
          <w:color w:val="222222"/>
        </w:rPr>
        <w:t>11.30-13.30 Introduzione alla TEI (</w:t>
      </w:r>
      <w:r>
        <w:rPr>
          <w:rFonts w:ascii="Times" w:hAnsi="Times" w:cs="Times"/>
          <w:i/>
          <w:iCs/>
          <w:color w:val="222222"/>
        </w:rPr>
        <w:t xml:space="preserve">Text </w:t>
      </w:r>
      <w:proofErr w:type="spellStart"/>
      <w:r>
        <w:rPr>
          <w:rFonts w:ascii="Times" w:hAnsi="Times" w:cs="Times"/>
          <w:i/>
          <w:iCs/>
          <w:color w:val="222222"/>
        </w:rPr>
        <w:t>Encoding</w:t>
      </w:r>
      <w:proofErr w:type="spellEnd"/>
      <w:r>
        <w:rPr>
          <w:rFonts w:ascii="Times" w:hAnsi="Times" w:cs="Times"/>
          <w:i/>
          <w:iCs/>
          <w:color w:val="222222"/>
        </w:rPr>
        <w:t xml:space="preserve"> </w:t>
      </w:r>
      <w:proofErr w:type="spellStart"/>
      <w:r>
        <w:rPr>
          <w:rFonts w:ascii="Times" w:hAnsi="Times" w:cs="Times"/>
          <w:i/>
          <w:iCs/>
          <w:color w:val="222222"/>
        </w:rPr>
        <w:t>Initiative</w:t>
      </w:r>
      <w:proofErr w:type="spellEnd"/>
      <w:r>
        <w:rPr>
          <w:rFonts w:ascii="Times" w:hAnsi="Times" w:cs="Times"/>
          <w:color w:val="222222"/>
        </w:rPr>
        <w:t xml:space="preserve">): il modello testuale proposto dalla TEI; le </w:t>
      </w:r>
      <w:proofErr w:type="spellStart"/>
      <w:r>
        <w:rPr>
          <w:rFonts w:ascii="Times" w:hAnsi="Times" w:cs="Times"/>
          <w:color w:val="222222"/>
        </w:rPr>
        <w:t>Guidelines</w:t>
      </w:r>
      <w:proofErr w:type="spellEnd"/>
      <w:r>
        <w:rPr>
          <w:rFonts w:ascii="Times" w:hAnsi="Times" w:cs="Times"/>
          <w:color w:val="222222"/>
        </w:rPr>
        <w:t xml:space="preserve"> TEI; il problema strumentale.</w:t>
      </w:r>
    </w:p>
    <w:p w14:paraId="6E808401" w14:textId="77777777" w:rsidR="008E13FD" w:rsidRDefault="008E13FD" w:rsidP="008E13FD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222222"/>
          <w:kern w:val="1"/>
        </w:rPr>
      </w:pPr>
      <w:r>
        <w:rPr>
          <w:rFonts w:ascii="Times" w:hAnsi="Times" w:cs="Times"/>
          <w:color w:val="222222"/>
        </w:rPr>
        <w:t>14.30-16.30 Sessione pratica. Primi passi con un file XML-TEI.</w:t>
      </w:r>
    </w:p>
    <w:p w14:paraId="5354FACC" w14:textId="77777777" w:rsidR="008E13FD" w:rsidRDefault="008E13FD" w:rsidP="008E13FD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222222"/>
          <w:kern w:val="1"/>
        </w:rPr>
      </w:pPr>
    </w:p>
    <w:p w14:paraId="7E263541" w14:textId="77777777" w:rsidR="008E13FD" w:rsidRDefault="008E13FD" w:rsidP="008E13FD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222222"/>
          <w:kern w:val="1"/>
        </w:rPr>
      </w:pPr>
      <w:r>
        <w:rPr>
          <w:rFonts w:ascii="Times" w:hAnsi="Times" w:cs="Times"/>
          <w:b/>
          <w:bCs/>
          <w:color w:val="222222"/>
        </w:rPr>
        <w:t>24 aprile.</w:t>
      </w:r>
      <w:r>
        <w:rPr>
          <w:rFonts w:ascii="Times" w:hAnsi="Times" w:cs="Times"/>
          <w:color w:val="222222"/>
        </w:rPr>
        <w:t xml:space="preserve"> Sala “Carlo Diano” (ex Presidenza), presso il Liviano</w:t>
      </w:r>
    </w:p>
    <w:p w14:paraId="1AD5F3F4" w14:textId="77777777" w:rsidR="008E13FD" w:rsidRDefault="008E13FD" w:rsidP="008E13FD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222222"/>
          <w:kern w:val="1"/>
        </w:rPr>
      </w:pPr>
      <w:r>
        <w:rPr>
          <w:rFonts w:ascii="Times" w:hAnsi="Times" w:cs="Times"/>
          <w:i/>
          <w:iCs/>
          <w:color w:val="222222"/>
        </w:rPr>
        <w:t>E dopo la formalizzazione dei dati? Visualizzazione e analisi</w:t>
      </w:r>
    </w:p>
    <w:p w14:paraId="1CFC9C81" w14:textId="77777777" w:rsidR="008E13FD" w:rsidRDefault="008E13FD" w:rsidP="008E13FD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222222"/>
          <w:kern w:val="1"/>
        </w:rPr>
      </w:pPr>
    </w:p>
    <w:p w14:paraId="220CB192" w14:textId="77777777" w:rsidR="008E13FD" w:rsidRDefault="008E13FD" w:rsidP="008E13FD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222222"/>
          <w:kern w:val="1"/>
        </w:rPr>
      </w:pPr>
      <w:r>
        <w:rPr>
          <w:rFonts w:ascii="Times" w:hAnsi="Times" w:cs="Times"/>
          <w:color w:val="222222"/>
        </w:rPr>
        <w:t>9.00-11.00 Sessione pratica. Costruzione parallela di un file XML-TEI e di un file HTML. Introduzione ai principi dei linguaggi XSLT e CSS.</w:t>
      </w:r>
    </w:p>
    <w:p w14:paraId="5C04E410" w14:textId="77777777" w:rsidR="008E13FD" w:rsidRDefault="008E13FD" w:rsidP="008E13FD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222222"/>
          <w:kern w:val="1"/>
        </w:rPr>
      </w:pPr>
      <w:r>
        <w:rPr>
          <w:rFonts w:ascii="Times" w:hAnsi="Times" w:cs="Times"/>
          <w:color w:val="222222"/>
        </w:rPr>
        <w:lastRenderedPageBreak/>
        <w:t>11.30-13.30 Dalla rappresentazione all’analisi (1). L’analisi linguistica: lemmatizzazione, etichettatura morfosintattica e concordanze.</w:t>
      </w:r>
    </w:p>
    <w:p w14:paraId="42AE123A" w14:textId="77777777" w:rsidR="008E13FD" w:rsidRDefault="008E13FD" w:rsidP="008E13FD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222222"/>
          <w:kern w:val="1"/>
        </w:rPr>
      </w:pPr>
      <w:r>
        <w:rPr>
          <w:rFonts w:ascii="Times" w:hAnsi="Times" w:cs="Times"/>
          <w:color w:val="222222"/>
        </w:rPr>
        <w:t>14.30-16.30 Dalla rappresentazione all’analisi (2). L’analisi testuale: la sfida della collazione automatica.</w:t>
      </w:r>
    </w:p>
    <w:p w14:paraId="2AFE21CC" w14:textId="77777777" w:rsidR="008E13FD" w:rsidRDefault="008E13FD" w:rsidP="008E13FD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kern w:val="1"/>
        </w:rPr>
      </w:pPr>
    </w:p>
    <w:p w14:paraId="72636A12" w14:textId="77777777" w:rsidR="006923AD" w:rsidRDefault="001C2A06"/>
    <w:sectPr w:rsidR="006923AD" w:rsidSect="00CB2827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FD"/>
    <w:rsid w:val="000B790F"/>
    <w:rsid w:val="001C2A06"/>
    <w:rsid w:val="008E13FD"/>
    <w:rsid w:val="00DF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78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Marco Noventa</cp:lastModifiedBy>
  <cp:revision>2</cp:revision>
  <dcterms:created xsi:type="dcterms:W3CDTF">2020-03-04T07:27:00Z</dcterms:created>
  <dcterms:modified xsi:type="dcterms:W3CDTF">2020-03-04T07:27:00Z</dcterms:modified>
</cp:coreProperties>
</file>